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C7C" w:rsidRDefault="00F615D8">
      <w:pPr>
        <w:pStyle w:val="Heading1"/>
        <w:jc w:val="center"/>
        <w:rPr>
          <w:rFonts w:ascii="Calibri" w:hAnsi="Calibri"/>
          <w:sz w:val="22"/>
          <w:szCs w:val="22"/>
        </w:rPr>
      </w:pPr>
      <w:r>
        <w:rPr>
          <w:rFonts w:ascii="Calibri" w:hAnsi="Calibri"/>
          <w:noProof/>
          <w:sz w:val="22"/>
          <w:szCs w:val="22"/>
          <w:lang w:eastAsia="en-GB" w:bidi="ar-SA"/>
        </w:rPr>
        <w:t>Mayfield Preschool</w:t>
      </w:r>
    </w:p>
    <w:p w:rsidR="00044C7C" w:rsidRDefault="008C545B">
      <w:pPr>
        <w:pStyle w:val="Textbody"/>
        <w:jc w:val="center"/>
        <w:rPr>
          <w:rFonts w:ascii="Calibri" w:hAnsi="Calibri"/>
          <w:b/>
          <w:bCs/>
        </w:rPr>
      </w:pPr>
      <w:r>
        <w:rPr>
          <w:rFonts w:ascii="Calibri" w:hAnsi="Calibri"/>
          <w:b/>
          <w:bCs/>
          <w:color w:val="0B0C0C"/>
        </w:rPr>
        <w:t>Covid19 Addendum</w:t>
      </w:r>
      <w:r>
        <w:rPr>
          <w:rFonts w:ascii="Calibri" w:hAnsi="Calibri"/>
          <w:b/>
          <w:bCs/>
        </w:rPr>
        <w:t xml:space="preserve"> to Health and Safety Policy</w:t>
      </w:r>
    </w:p>
    <w:p w:rsidR="00044C7C" w:rsidRDefault="00044C7C">
      <w:pPr>
        <w:pStyle w:val="Textbody"/>
        <w:jc w:val="center"/>
        <w:rPr>
          <w:rFonts w:ascii="Calibri" w:hAnsi="Calibri"/>
          <w:sz w:val="22"/>
          <w:szCs w:val="22"/>
        </w:rPr>
      </w:pPr>
    </w:p>
    <w:p w:rsidR="00044C7C" w:rsidRDefault="008C545B">
      <w:pPr>
        <w:pStyle w:val="Textbody"/>
        <w:jc w:val="both"/>
        <w:rPr>
          <w:rFonts w:ascii="Calibri" w:hAnsi="Calibri"/>
          <w:sz w:val="22"/>
          <w:szCs w:val="22"/>
        </w:rPr>
      </w:pPr>
      <w:r>
        <w:rPr>
          <w:rFonts w:ascii="Calibri" w:hAnsi="Calibri"/>
          <w:sz w:val="22"/>
          <w:szCs w:val="22"/>
        </w:rPr>
        <w:t>This addendum to the preschool's Health and Safety Policy and will set out guidelines to be used in conjunction with our existing policy.  It aims to set out heightened procedures for infection control and health and safety du</w:t>
      </w:r>
      <w:r>
        <w:rPr>
          <w:rFonts w:ascii="Calibri" w:hAnsi="Calibri"/>
          <w:sz w:val="22"/>
          <w:szCs w:val="22"/>
        </w:rPr>
        <w:t>ring the Covid19 pandemic, and will be used alongside the setting risk assessment and Procedure for Sudden Illness.</w:t>
      </w:r>
    </w:p>
    <w:p w:rsidR="00044C7C" w:rsidRDefault="008C545B">
      <w:pPr>
        <w:pStyle w:val="Textbody"/>
        <w:jc w:val="both"/>
        <w:rPr>
          <w:rFonts w:ascii="Calibri" w:hAnsi="Calibri"/>
          <w:b/>
          <w:bCs/>
          <w:sz w:val="22"/>
          <w:szCs w:val="22"/>
        </w:rPr>
      </w:pPr>
      <w:r>
        <w:rPr>
          <w:rFonts w:ascii="Calibri" w:hAnsi="Calibri"/>
          <w:b/>
          <w:bCs/>
          <w:sz w:val="22"/>
          <w:szCs w:val="22"/>
        </w:rPr>
        <w:t>Infection Control Measures:</w:t>
      </w:r>
    </w:p>
    <w:p w:rsidR="00044C7C" w:rsidRDefault="008C545B">
      <w:pPr>
        <w:pStyle w:val="Textbody"/>
        <w:jc w:val="both"/>
        <w:rPr>
          <w:rFonts w:ascii="Calibri" w:hAnsi="Calibri"/>
          <w:color w:val="000000"/>
          <w:sz w:val="22"/>
          <w:szCs w:val="22"/>
        </w:rPr>
      </w:pPr>
      <w:r>
        <w:rPr>
          <w:rFonts w:ascii="Calibri" w:hAnsi="Calibri"/>
          <w:color w:val="000000"/>
          <w:sz w:val="22"/>
          <w:szCs w:val="22"/>
        </w:rPr>
        <w:t>All staff and families will be made aware of our rigorous infection control measures at this time.  These will i</w:t>
      </w:r>
      <w:r>
        <w:rPr>
          <w:rFonts w:ascii="Calibri" w:hAnsi="Calibri"/>
          <w:color w:val="000000"/>
          <w:sz w:val="22"/>
          <w:szCs w:val="22"/>
        </w:rPr>
        <w:t>nclude:</w:t>
      </w:r>
    </w:p>
    <w:p w:rsidR="00044C7C" w:rsidRDefault="008C545B">
      <w:pPr>
        <w:pStyle w:val="Textbody"/>
        <w:widowControl/>
        <w:numPr>
          <w:ilvl w:val="0"/>
          <w:numId w:val="1"/>
        </w:numPr>
        <w:spacing w:after="30"/>
        <w:jc w:val="both"/>
        <w:rPr>
          <w:rFonts w:ascii="Calibri" w:hAnsi="Calibri"/>
          <w:color w:val="000000"/>
          <w:sz w:val="22"/>
          <w:szCs w:val="22"/>
        </w:rPr>
      </w:pPr>
      <w:r>
        <w:rPr>
          <w:rFonts w:ascii="Calibri" w:hAnsi="Calibri"/>
          <w:color w:val="000000"/>
          <w:sz w:val="22"/>
          <w:szCs w:val="22"/>
        </w:rPr>
        <w:t>Children/adults will be kept in group 'bubbles' or no more than 8 children, and following usual ratios.  There will be no more than 16 children, or as per government guidelines, at any one time.</w:t>
      </w:r>
    </w:p>
    <w:p w:rsidR="00044C7C" w:rsidRDefault="008C545B">
      <w:pPr>
        <w:pStyle w:val="Textbody"/>
        <w:widowControl/>
        <w:numPr>
          <w:ilvl w:val="0"/>
          <w:numId w:val="1"/>
        </w:numPr>
        <w:spacing w:after="30"/>
        <w:jc w:val="both"/>
        <w:rPr>
          <w:rFonts w:ascii="Calibri" w:hAnsi="Calibri"/>
          <w:color w:val="000000"/>
          <w:sz w:val="22"/>
          <w:szCs w:val="22"/>
        </w:rPr>
      </w:pPr>
      <w:r>
        <w:rPr>
          <w:rFonts w:ascii="Calibri" w:hAnsi="Calibri"/>
          <w:color w:val="000000"/>
          <w:sz w:val="22"/>
          <w:szCs w:val="22"/>
        </w:rPr>
        <w:t>Only staff are permitted on site.  No visitors will b</w:t>
      </w:r>
      <w:r>
        <w:rPr>
          <w:rFonts w:ascii="Calibri" w:hAnsi="Calibri"/>
          <w:color w:val="000000"/>
          <w:sz w:val="22"/>
          <w:szCs w:val="22"/>
        </w:rPr>
        <w:t>e permitted during the pandemic.</w:t>
      </w:r>
    </w:p>
    <w:p w:rsidR="00044C7C" w:rsidRDefault="008C545B">
      <w:pPr>
        <w:pStyle w:val="Textbody"/>
        <w:widowControl/>
        <w:numPr>
          <w:ilvl w:val="0"/>
          <w:numId w:val="1"/>
        </w:numPr>
        <w:spacing w:after="30"/>
        <w:jc w:val="both"/>
        <w:rPr>
          <w:rFonts w:ascii="Calibri" w:hAnsi="Calibri"/>
          <w:color w:val="000000"/>
          <w:sz w:val="22"/>
          <w:szCs w:val="22"/>
        </w:rPr>
      </w:pPr>
      <w:r>
        <w:rPr>
          <w:rFonts w:ascii="Calibri" w:hAnsi="Calibri"/>
          <w:color w:val="000000"/>
          <w:sz w:val="22"/>
          <w:szCs w:val="22"/>
        </w:rPr>
        <w:t>Good basic hygiene practices such as regular hand-washing (practitioners and children)</w:t>
      </w:r>
    </w:p>
    <w:p w:rsidR="00044C7C" w:rsidRDefault="008C545B">
      <w:pPr>
        <w:pStyle w:val="Textbody"/>
        <w:widowControl/>
        <w:numPr>
          <w:ilvl w:val="0"/>
          <w:numId w:val="1"/>
        </w:numPr>
        <w:spacing w:after="30"/>
        <w:jc w:val="both"/>
        <w:rPr>
          <w:rFonts w:ascii="Calibri" w:hAnsi="Calibri"/>
          <w:color w:val="000000"/>
          <w:sz w:val="22"/>
          <w:szCs w:val="22"/>
        </w:rPr>
      </w:pPr>
      <w:r>
        <w:rPr>
          <w:rFonts w:ascii="Calibri" w:hAnsi="Calibri"/>
          <w:color w:val="000000"/>
          <w:sz w:val="22"/>
          <w:szCs w:val="22"/>
        </w:rPr>
        <w:t>Supervise young children to ensure they wash their hands for 20 seconds more often than usual with soap and water</w:t>
      </w:r>
    </w:p>
    <w:p w:rsidR="00044C7C" w:rsidRDefault="008C545B">
      <w:pPr>
        <w:pStyle w:val="Textbody"/>
        <w:widowControl/>
        <w:numPr>
          <w:ilvl w:val="0"/>
          <w:numId w:val="1"/>
        </w:numPr>
        <w:spacing w:after="30"/>
        <w:jc w:val="both"/>
        <w:rPr>
          <w:rFonts w:ascii="Calibri" w:hAnsi="Calibri"/>
          <w:color w:val="000000"/>
          <w:sz w:val="22"/>
          <w:szCs w:val="22"/>
        </w:rPr>
      </w:pPr>
      <w:r>
        <w:rPr>
          <w:rFonts w:ascii="Calibri" w:hAnsi="Calibri"/>
          <w:color w:val="000000"/>
          <w:sz w:val="22"/>
          <w:szCs w:val="22"/>
        </w:rPr>
        <w:t>Clean and disinfect re</w:t>
      </w:r>
      <w:r>
        <w:rPr>
          <w:rFonts w:ascii="Calibri" w:hAnsi="Calibri"/>
          <w:color w:val="000000"/>
          <w:sz w:val="22"/>
          <w:szCs w:val="22"/>
        </w:rPr>
        <w:t>gularly touched objects and surfaces more often than usual using  standard cleaning products</w:t>
      </w:r>
    </w:p>
    <w:p w:rsidR="00044C7C" w:rsidRDefault="008C545B">
      <w:pPr>
        <w:pStyle w:val="Textbody"/>
        <w:widowControl/>
        <w:numPr>
          <w:ilvl w:val="0"/>
          <w:numId w:val="1"/>
        </w:numPr>
        <w:spacing w:after="30"/>
        <w:jc w:val="both"/>
        <w:rPr>
          <w:rFonts w:ascii="Calibri" w:hAnsi="Calibri"/>
          <w:color w:val="000000"/>
          <w:sz w:val="22"/>
          <w:szCs w:val="22"/>
        </w:rPr>
      </w:pPr>
      <w:r>
        <w:rPr>
          <w:rFonts w:ascii="Calibri" w:hAnsi="Calibri"/>
          <w:color w:val="000000"/>
          <w:sz w:val="22"/>
          <w:szCs w:val="22"/>
        </w:rPr>
        <w:t>Waterproof dressing to cover on any existing wounds or lesions</w:t>
      </w:r>
    </w:p>
    <w:p w:rsidR="00044C7C" w:rsidRDefault="008C545B">
      <w:pPr>
        <w:pStyle w:val="Textbody"/>
        <w:widowControl/>
        <w:numPr>
          <w:ilvl w:val="0"/>
          <w:numId w:val="1"/>
        </w:numPr>
        <w:spacing w:after="30"/>
        <w:jc w:val="both"/>
        <w:rPr>
          <w:rFonts w:ascii="Calibri" w:hAnsi="Calibri"/>
          <w:color w:val="000000"/>
          <w:sz w:val="22"/>
          <w:szCs w:val="22"/>
        </w:rPr>
      </w:pPr>
      <w:r>
        <w:rPr>
          <w:rFonts w:ascii="Calibri" w:hAnsi="Calibri"/>
          <w:color w:val="000000"/>
          <w:sz w:val="22"/>
          <w:szCs w:val="22"/>
        </w:rPr>
        <w:t xml:space="preserve">Personal protective equipment (PPE) such as aprons and gloves are used as necessary (and face masks </w:t>
      </w:r>
      <w:r>
        <w:rPr>
          <w:rFonts w:ascii="Calibri" w:hAnsi="Calibri"/>
          <w:color w:val="000000"/>
          <w:sz w:val="22"/>
          <w:szCs w:val="22"/>
        </w:rPr>
        <w:t>if someone falls ill, inline with Sudden Illness Procedure)</w:t>
      </w:r>
    </w:p>
    <w:p w:rsidR="00044C7C" w:rsidRDefault="008C545B">
      <w:pPr>
        <w:pStyle w:val="Textbody"/>
        <w:widowControl/>
        <w:numPr>
          <w:ilvl w:val="0"/>
          <w:numId w:val="1"/>
        </w:numPr>
        <w:spacing w:after="30"/>
        <w:jc w:val="both"/>
        <w:rPr>
          <w:rFonts w:ascii="Calibri" w:hAnsi="Calibri"/>
          <w:color w:val="000000"/>
          <w:sz w:val="22"/>
          <w:szCs w:val="22"/>
        </w:rPr>
      </w:pPr>
      <w:r>
        <w:rPr>
          <w:rFonts w:ascii="Calibri" w:hAnsi="Calibri"/>
          <w:color w:val="000000"/>
          <w:sz w:val="22"/>
          <w:szCs w:val="22"/>
        </w:rPr>
        <w:t>Clear procedures are in place for cleaning equipment and wider environment (a deep clean will take place daily)</w:t>
      </w:r>
    </w:p>
    <w:p w:rsidR="00044C7C" w:rsidRDefault="008C545B">
      <w:pPr>
        <w:pStyle w:val="Textbody"/>
        <w:widowControl/>
        <w:numPr>
          <w:ilvl w:val="0"/>
          <w:numId w:val="1"/>
        </w:numPr>
        <w:spacing w:after="30"/>
        <w:jc w:val="both"/>
        <w:rPr>
          <w:rFonts w:ascii="Calibri" w:hAnsi="Calibri"/>
          <w:color w:val="000000"/>
          <w:sz w:val="22"/>
          <w:szCs w:val="22"/>
        </w:rPr>
      </w:pPr>
      <w:r>
        <w:rPr>
          <w:rFonts w:ascii="Calibri" w:hAnsi="Calibri"/>
          <w:color w:val="000000"/>
          <w:sz w:val="22"/>
          <w:szCs w:val="22"/>
        </w:rPr>
        <w:t>Immediate cleaning of spillages of blood and other bodily fluids, with disposal in u</w:t>
      </w:r>
      <w:r>
        <w:rPr>
          <w:rFonts w:ascii="Calibri" w:hAnsi="Calibri"/>
          <w:color w:val="000000"/>
          <w:sz w:val="22"/>
          <w:szCs w:val="22"/>
        </w:rPr>
        <w:t>sual way</w:t>
      </w:r>
    </w:p>
    <w:p w:rsidR="00044C7C" w:rsidRDefault="008C545B">
      <w:pPr>
        <w:pStyle w:val="Textbody"/>
        <w:widowControl/>
        <w:numPr>
          <w:ilvl w:val="0"/>
          <w:numId w:val="1"/>
        </w:numPr>
        <w:spacing w:after="30"/>
        <w:jc w:val="both"/>
        <w:rPr>
          <w:rFonts w:ascii="Calibri" w:hAnsi="Calibri"/>
          <w:color w:val="000000"/>
          <w:sz w:val="22"/>
          <w:szCs w:val="22"/>
        </w:rPr>
      </w:pPr>
      <w:r>
        <w:rPr>
          <w:rFonts w:ascii="Calibri" w:hAnsi="Calibri"/>
          <w:color w:val="000000"/>
          <w:sz w:val="22"/>
          <w:szCs w:val="22"/>
        </w:rPr>
        <w:t>Clear procedures on safe disposal of waste (see Sudden Illness Procedure)</w:t>
      </w:r>
    </w:p>
    <w:p w:rsidR="00044C7C" w:rsidRDefault="008C545B">
      <w:pPr>
        <w:pStyle w:val="Textbody"/>
        <w:widowControl/>
        <w:numPr>
          <w:ilvl w:val="0"/>
          <w:numId w:val="1"/>
        </w:numPr>
        <w:spacing w:after="30"/>
        <w:jc w:val="both"/>
        <w:rPr>
          <w:rFonts w:ascii="Calibri" w:hAnsi="Calibri"/>
          <w:color w:val="000000"/>
          <w:sz w:val="22"/>
          <w:szCs w:val="22"/>
        </w:rPr>
      </w:pPr>
      <w:r>
        <w:rPr>
          <w:rFonts w:ascii="Calibri" w:hAnsi="Calibri"/>
          <w:color w:val="000000"/>
          <w:sz w:val="22"/>
          <w:szCs w:val="22"/>
        </w:rPr>
        <w:t>Infection control guidance and management procedures in place which are clearly understood and adhered to by staff</w:t>
      </w:r>
    </w:p>
    <w:p w:rsidR="00044C7C" w:rsidRDefault="008C545B">
      <w:pPr>
        <w:pStyle w:val="Textbody"/>
        <w:widowControl/>
        <w:numPr>
          <w:ilvl w:val="0"/>
          <w:numId w:val="1"/>
        </w:numPr>
        <w:spacing w:after="30"/>
        <w:jc w:val="both"/>
        <w:rPr>
          <w:rFonts w:ascii="Calibri" w:hAnsi="Calibri"/>
          <w:color w:val="000000"/>
          <w:sz w:val="22"/>
          <w:szCs w:val="22"/>
        </w:rPr>
      </w:pPr>
      <w:r>
        <w:rPr>
          <w:rFonts w:ascii="Calibri" w:hAnsi="Calibri"/>
          <w:color w:val="000000"/>
          <w:sz w:val="22"/>
          <w:szCs w:val="22"/>
        </w:rPr>
        <w:t>Any items that come into contact with mouths such as cups,</w:t>
      </w:r>
      <w:r>
        <w:rPr>
          <w:rFonts w:ascii="Calibri" w:hAnsi="Calibri"/>
          <w:color w:val="000000"/>
          <w:sz w:val="22"/>
          <w:szCs w:val="22"/>
        </w:rPr>
        <w:t xml:space="preserve"> bottles and straws should not be shared.</w:t>
      </w:r>
    </w:p>
    <w:p w:rsidR="00044C7C" w:rsidRDefault="008C545B">
      <w:pPr>
        <w:pStyle w:val="Textbody"/>
        <w:widowControl/>
        <w:numPr>
          <w:ilvl w:val="0"/>
          <w:numId w:val="1"/>
        </w:numPr>
        <w:spacing w:after="30"/>
        <w:jc w:val="both"/>
        <w:rPr>
          <w:rFonts w:ascii="Calibri" w:hAnsi="Calibri"/>
          <w:color w:val="000000"/>
          <w:sz w:val="22"/>
          <w:szCs w:val="22"/>
        </w:rPr>
      </w:pPr>
      <w:r>
        <w:rPr>
          <w:rFonts w:ascii="Calibri" w:hAnsi="Calibri"/>
          <w:color w:val="000000"/>
          <w:sz w:val="22"/>
          <w:szCs w:val="22"/>
        </w:rPr>
        <w:t>Lunch boxes are full disposable daily.</w:t>
      </w:r>
    </w:p>
    <w:p w:rsidR="00044C7C" w:rsidRDefault="008C545B">
      <w:pPr>
        <w:pStyle w:val="Textbody"/>
        <w:widowControl/>
        <w:numPr>
          <w:ilvl w:val="0"/>
          <w:numId w:val="1"/>
        </w:numPr>
        <w:spacing w:after="30"/>
        <w:rPr>
          <w:rFonts w:ascii="Calibri" w:hAnsi="Calibri"/>
          <w:color w:val="000000"/>
          <w:sz w:val="22"/>
          <w:szCs w:val="22"/>
        </w:rPr>
      </w:pPr>
      <w:r>
        <w:rPr>
          <w:rFonts w:ascii="Calibri" w:hAnsi="Calibri"/>
          <w:color w:val="000000"/>
          <w:sz w:val="22"/>
          <w:szCs w:val="22"/>
        </w:rPr>
        <w:t>All children (parents of) and practitioners are asked to fully wash their clothes after every session in the setting.</w:t>
      </w:r>
    </w:p>
    <w:p w:rsidR="00044C7C" w:rsidRDefault="00044C7C">
      <w:pPr>
        <w:pStyle w:val="Textbody"/>
        <w:widowControl/>
        <w:spacing w:after="30"/>
        <w:rPr>
          <w:rFonts w:ascii="Calibri" w:hAnsi="Calibri"/>
          <w:color w:val="000000"/>
          <w:sz w:val="22"/>
          <w:szCs w:val="22"/>
        </w:rPr>
      </w:pPr>
    </w:p>
    <w:p w:rsidR="00044C7C" w:rsidRDefault="008C545B">
      <w:pPr>
        <w:pStyle w:val="Textbody"/>
        <w:widowControl/>
        <w:spacing w:after="30"/>
        <w:rPr>
          <w:rFonts w:ascii="Calibri" w:hAnsi="Calibri"/>
          <w:b/>
          <w:bCs/>
          <w:color w:val="000000"/>
          <w:sz w:val="22"/>
          <w:szCs w:val="22"/>
        </w:rPr>
      </w:pPr>
      <w:r>
        <w:rPr>
          <w:rFonts w:ascii="Calibri" w:hAnsi="Calibri"/>
          <w:b/>
          <w:bCs/>
          <w:color w:val="000000"/>
          <w:sz w:val="22"/>
          <w:szCs w:val="22"/>
        </w:rPr>
        <w:t>Hand washing:</w:t>
      </w:r>
    </w:p>
    <w:p w:rsidR="00044C7C" w:rsidRDefault="008C545B">
      <w:pPr>
        <w:pStyle w:val="Textbody"/>
        <w:widowControl/>
        <w:spacing w:after="0"/>
        <w:rPr>
          <w:rFonts w:ascii="Calibri" w:hAnsi="Calibri"/>
          <w:color w:val="000000"/>
          <w:sz w:val="22"/>
          <w:szCs w:val="22"/>
        </w:rPr>
      </w:pPr>
      <w:r>
        <w:rPr>
          <w:rFonts w:ascii="Calibri" w:hAnsi="Calibri"/>
          <w:color w:val="000000"/>
          <w:sz w:val="22"/>
          <w:szCs w:val="22"/>
        </w:rPr>
        <w:t xml:space="preserve">Public Health England advises that </w:t>
      </w:r>
      <w:r>
        <w:rPr>
          <w:rFonts w:ascii="Calibri" w:hAnsi="Calibri"/>
          <w:color w:val="000000"/>
          <w:sz w:val="22"/>
          <w:szCs w:val="22"/>
        </w:rPr>
        <w:t>children and staff should be encouraged to catch sneezes with a tissue, bin the tissue and wash their hands (catch it, kill it, bin it).</w:t>
      </w:r>
    </w:p>
    <w:p w:rsidR="00044C7C" w:rsidRDefault="008C545B">
      <w:pPr>
        <w:pStyle w:val="Textbody"/>
        <w:widowControl/>
        <w:spacing w:after="0"/>
        <w:jc w:val="both"/>
        <w:rPr>
          <w:rFonts w:ascii="Calibri" w:hAnsi="Calibri"/>
          <w:color w:val="000000"/>
          <w:sz w:val="22"/>
          <w:szCs w:val="22"/>
        </w:rPr>
      </w:pPr>
      <w:r>
        <w:rPr>
          <w:rFonts w:ascii="Calibri" w:hAnsi="Calibri"/>
          <w:color w:val="000000"/>
          <w:sz w:val="22"/>
          <w:szCs w:val="22"/>
        </w:rPr>
        <w:t>We should also remind children to wash their hands,</w:t>
      </w:r>
    </w:p>
    <w:p w:rsidR="00044C7C" w:rsidRDefault="008C545B">
      <w:pPr>
        <w:pStyle w:val="Textbody"/>
        <w:widowControl/>
        <w:numPr>
          <w:ilvl w:val="0"/>
          <w:numId w:val="2"/>
        </w:numPr>
        <w:spacing w:after="0"/>
        <w:jc w:val="both"/>
        <w:rPr>
          <w:rFonts w:ascii="Calibri" w:hAnsi="Calibri"/>
          <w:color w:val="000000"/>
          <w:sz w:val="22"/>
          <w:szCs w:val="22"/>
        </w:rPr>
      </w:pPr>
      <w:r>
        <w:rPr>
          <w:rFonts w:ascii="Calibri" w:hAnsi="Calibri"/>
          <w:color w:val="000000"/>
          <w:sz w:val="22"/>
          <w:szCs w:val="22"/>
        </w:rPr>
        <w:t>after outside play</w:t>
      </w:r>
    </w:p>
    <w:p w:rsidR="00044C7C" w:rsidRDefault="008C545B">
      <w:pPr>
        <w:pStyle w:val="Textbody"/>
        <w:widowControl/>
        <w:numPr>
          <w:ilvl w:val="0"/>
          <w:numId w:val="2"/>
        </w:numPr>
        <w:spacing w:after="30"/>
        <w:rPr>
          <w:rFonts w:ascii="Calibri" w:hAnsi="Calibri"/>
          <w:color w:val="000000"/>
          <w:sz w:val="22"/>
          <w:szCs w:val="22"/>
        </w:rPr>
      </w:pPr>
      <w:r>
        <w:rPr>
          <w:rFonts w:ascii="Calibri" w:hAnsi="Calibri"/>
          <w:color w:val="000000"/>
          <w:sz w:val="22"/>
          <w:szCs w:val="22"/>
        </w:rPr>
        <w:t>before meals and snack times</w:t>
      </w:r>
    </w:p>
    <w:p w:rsidR="00044C7C" w:rsidRDefault="008C545B">
      <w:pPr>
        <w:pStyle w:val="Textbody"/>
        <w:widowControl/>
        <w:numPr>
          <w:ilvl w:val="0"/>
          <w:numId w:val="2"/>
        </w:numPr>
        <w:spacing w:after="30"/>
        <w:rPr>
          <w:rFonts w:ascii="Calibri" w:hAnsi="Calibri"/>
          <w:color w:val="000000"/>
          <w:sz w:val="22"/>
          <w:szCs w:val="22"/>
        </w:rPr>
      </w:pPr>
      <w:r>
        <w:rPr>
          <w:rFonts w:ascii="Calibri" w:hAnsi="Calibri"/>
          <w:color w:val="000000"/>
          <w:sz w:val="22"/>
          <w:szCs w:val="22"/>
        </w:rPr>
        <w:t>after using the to</w:t>
      </w:r>
      <w:r>
        <w:rPr>
          <w:rFonts w:ascii="Calibri" w:hAnsi="Calibri"/>
          <w:color w:val="000000"/>
          <w:sz w:val="22"/>
          <w:szCs w:val="22"/>
        </w:rPr>
        <w:t>ilet</w:t>
      </w:r>
    </w:p>
    <w:p w:rsidR="00044C7C" w:rsidRDefault="008C545B">
      <w:pPr>
        <w:pStyle w:val="Textbody"/>
        <w:widowControl/>
        <w:numPr>
          <w:ilvl w:val="0"/>
          <w:numId w:val="2"/>
        </w:numPr>
        <w:spacing w:after="30"/>
        <w:rPr>
          <w:rFonts w:ascii="Calibri" w:hAnsi="Calibri"/>
          <w:color w:val="000000"/>
          <w:sz w:val="22"/>
          <w:szCs w:val="22"/>
        </w:rPr>
      </w:pPr>
      <w:r>
        <w:rPr>
          <w:rFonts w:ascii="Calibri" w:hAnsi="Calibri"/>
          <w:color w:val="000000"/>
          <w:sz w:val="22"/>
          <w:szCs w:val="22"/>
        </w:rPr>
        <w:t>when they arrive at your setting</w:t>
      </w:r>
    </w:p>
    <w:p w:rsidR="00044C7C" w:rsidRDefault="008C545B">
      <w:pPr>
        <w:pStyle w:val="Textbody"/>
        <w:widowControl/>
        <w:numPr>
          <w:ilvl w:val="0"/>
          <w:numId w:val="2"/>
        </w:numPr>
        <w:spacing w:after="30"/>
        <w:rPr>
          <w:rFonts w:ascii="Calibri" w:hAnsi="Calibri"/>
          <w:color w:val="000000"/>
          <w:sz w:val="22"/>
          <w:szCs w:val="22"/>
        </w:rPr>
      </w:pPr>
      <w:r>
        <w:rPr>
          <w:rFonts w:ascii="Calibri" w:hAnsi="Calibri"/>
          <w:color w:val="000000"/>
          <w:sz w:val="22"/>
          <w:szCs w:val="22"/>
        </w:rPr>
        <w:t>at the end of the day before they go home.</w:t>
      </w:r>
    </w:p>
    <w:p w:rsidR="00044C7C" w:rsidRDefault="008C545B">
      <w:pPr>
        <w:pStyle w:val="Textbody"/>
        <w:widowControl/>
        <w:spacing w:after="0"/>
        <w:jc w:val="both"/>
        <w:rPr>
          <w:rFonts w:ascii="Calibri" w:hAnsi="Calibri"/>
          <w:color w:val="000000"/>
          <w:sz w:val="22"/>
          <w:szCs w:val="22"/>
        </w:rPr>
      </w:pPr>
      <w:r>
        <w:rPr>
          <w:rFonts w:ascii="Calibri" w:hAnsi="Calibri"/>
          <w:color w:val="000000"/>
          <w:sz w:val="22"/>
          <w:szCs w:val="22"/>
        </w:rPr>
        <w:t>If we do not have access to soap and water to hand at the time, an alcohol-based hand sanitiser can be used instead – a foam based one for children and a stronger alcohol-base</w:t>
      </w:r>
      <w:r>
        <w:rPr>
          <w:rFonts w:ascii="Calibri" w:hAnsi="Calibri"/>
          <w:color w:val="000000"/>
          <w:sz w:val="22"/>
          <w:szCs w:val="22"/>
        </w:rPr>
        <w:t>d gel for adults.  It is important that everyone should try not to touch their eyes, nose and mouth with unwashed hands.  Hand-washing songs and Covid19 social stories have been shared via email, Tapestry and on our website for children.</w:t>
      </w:r>
    </w:p>
    <w:p w:rsidR="00044C7C" w:rsidRDefault="00044C7C">
      <w:pPr>
        <w:pStyle w:val="Textbody"/>
        <w:widowControl/>
        <w:spacing w:after="0"/>
        <w:rPr>
          <w:rFonts w:ascii="Calibri" w:hAnsi="Calibri"/>
          <w:color w:val="000000"/>
          <w:sz w:val="22"/>
          <w:szCs w:val="22"/>
        </w:rPr>
      </w:pPr>
    </w:p>
    <w:p w:rsidR="00F615D8" w:rsidRDefault="00F615D8">
      <w:pPr>
        <w:pStyle w:val="Textbody"/>
        <w:jc w:val="both"/>
        <w:rPr>
          <w:rFonts w:ascii="Calibri" w:hAnsi="Calibri"/>
          <w:b/>
          <w:bCs/>
          <w:sz w:val="22"/>
          <w:szCs w:val="22"/>
        </w:rPr>
      </w:pPr>
    </w:p>
    <w:p w:rsidR="00044C7C" w:rsidRDefault="008C545B">
      <w:pPr>
        <w:pStyle w:val="Textbody"/>
        <w:jc w:val="both"/>
        <w:rPr>
          <w:rFonts w:ascii="Calibri" w:hAnsi="Calibri"/>
          <w:b/>
          <w:bCs/>
          <w:sz w:val="22"/>
          <w:szCs w:val="22"/>
        </w:rPr>
      </w:pPr>
      <w:r>
        <w:rPr>
          <w:rFonts w:ascii="Calibri" w:hAnsi="Calibri"/>
          <w:b/>
          <w:bCs/>
          <w:sz w:val="22"/>
          <w:szCs w:val="22"/>
        </w:rPr>
        <w:lastRenderedPageBreak/>
        <w:t xml:space="preserve">Legionnaires and </w:t>
      </w:r>
      <w:r>
        <w:rPr>
          <w:rFonts w:ascii="Calibri" w:hAnsi="Calibri"/>
          <w:b/>
          <w:bCs/>
          <w:sz w:val="22"/>
          <w:szCs w:val="22"/>
        </w:rPr>
        <w:t>Unused Buildings:</w:t>
      </w:r>
    </w:p>
    <w:p w:rsidR="00044C7C" w:rsidRDefault="008C545B">
      <w:pPr>
        <w:pStyle w:val="Textbody"/>
        <w:jc w:val="both"/>
        <w:rPr>
          <w:rFonts w:ascii="Calibri" w:hAnsi="Calibri"/>
          <w:color w:val="000000"/>
          <w:sz w:val="22"/>
          <w:szCs w:val="22"/>
        </w:rPr>
      </w:pPr>
      <w:r>
        <w:rPr>
          <w:rFonts w:ascii="Calibri" w:hAnsi="Calibri"/>
          <w:color w:val="000000"/>
          <w:sz w:val="22"/>
          <w:szCs w:val="22"/>
        </w:rPr>
        <w:t>There may be times during the pandemic when the preschool premises is unused.  During this time there is an increased risk of Legionnaire’s Disease from hot and cold water systems being unused.</w:t>
      </w:r>
    </w:p>
    <w:p w:rsidR="00044C7C" w:rsidRDefault="008C545B">
      <w:pPr>
        <w:pStyle w:val="Textbody"/>
        <w:widowControl/>
        <w:spacing w:after="0"/>
        <w:jc w:val="both"/>
        <w:rPr>
          <w:rFonts w:ascii="Calibri" w:hAnsi="Calibri"/>
          <w:color w:val="000000"/>
          <w:sz w:val="22"/>
          <w:szCs w:val="22"/>
        </w:rPr>
      </w:pPr>
      <w:r>
        <w:rPr>
          <w:rFonts w:ascii="Calibri" w:hAnsi="Calibri"/>
          <w:color w:val="000000"/>
          <w:sz w:val="22"/>
          <w:szCs w:val="22"/>
        </w:rPr>
        <w:t>While the risk is low within small buildings</w:t>
      </w:r>
      <w:r>
        <w:rPr>
          <w:rFonts w:ascii="Calibri" w:hAnsi="Calibri"/>
          <w:color w:val="000000"/>
          <w:sz w:val="22"/>
          <w:szCs w:val="22"/>
        </w:rPr>
        <w:t>, steps should be taken to protect all users and we will ensure that:</w:t>
      </w:r>
    </w:p>
    <w:p w:rsidR="00044C7C" w:rsidRDefault="008C545B">
      <w:pPr>
        <w:pStyle w:val="Textbody"/>
        <w:widowControl/>
        <w:numPr>
          <w:ilvl w:val="0"/>
          <w:numId w:val="3"/>
        </w:numPr>
        <w:spacing w:after="0"/>
        <w:rPr>
          <w:rFonts w:ascii="Calibri" w:hAnsi="Calibri"/>
          <w:color w:val="000000"/>
          <w:sz w:val="22"/>
          <w:szCs w:val="22"/>
        </w:rPr>
      </w:pPr>
      <w:r>
        <w:rPr>
          <w:rFonts w:ascii="Calibri" w:hAnsi="Calibri"/>
          <w:color w:val="000000"/>
          <w:sz w:val="22"/>
          <w:szCs w:val="22"/>
        </w:rPr>
        <w:t>Taps are run through once a week for two to three minutes</w:t>
      </w:r>
    </w:p>
    <w:p w:rsidR="00044C7C" w:rsidRDefault="008C545B">
      <w:pPr>
        <w:pStyle w:val="Textbody"/>
        <w:widowControl/>
        <w:numPr>
          <w:ilvl w:val="0"/>
          <w:numId w:val="3"/>
        </w:numPr>
        <w:spacing w:after="0"/>
        <w:rPr>
          <w:rFonts w:ascii="Calibri" w:hAnsi="Calibri"/>
          <w:color w:val="000000"/>
          <w:sz w:val="22"/>
          <w:szCs w:val="22"/>
        </w:rPr>
      </w:pPr>
      <w:r>
        <w:rPr>
          <w:rFonts w:ascii="Calibri" w:hAnsi="Calibri"/>
          <w:color w:val="000000"/>
          <w:sz w:val="22"/>
          <w:szCs w:val="22"/>
        </w:rPr>
        <w:t>All toilets are flushed on a weekly basis</w:t>
      </w:r>
    </w:p>
    <w:p w:rsidR="00044C7C" w:rsidRDefault="008C545B">
      <w:pPr>
        <w:pStyle w:val="Textbody"/>
        <w:widowControl/>
        <w:numPr>
          <w:ilvl w:val="0"/>
          <w:numId w:val="3"/>
        </w:numPr>
        <w:spacing w:after="0"/>
        <w:rPr>
          <w:rFonts w:ascii="Calibri" w:hAnsi="Calibri"/>
          <w:color w:val="000000"/>
          <w:sz w:val="22"/>
          <w:szCs w:val="22"/>
        </w:rPr>
      </w:pPr>
      <w:r>
        <w:rPr>
          <w:rFonts w:ascii="Calibri" w:hAnsi="Calibri"/>
          <w:color w:val="000000"/>
          <w:sz w:val="22"/>
          <w:szCs w:val="22"/>
        </w:rPr>
        <w:t>Before the setting is reopened, all water systems will be flushed through and disinfec</w:t>
      </w:r>
      <w:r>
        <w:rPr>
          <w:rFonts w:ascii="Calibri" w:hAnsi="Calibri"/>
          <w:color w:val="000000"/>
          <w:sz w:val="22"/>
          <w:szCs w:val="22"/>
        </w:rPr>
        <w:t>ted thoroughly</w:t>
      </w:r>
    </w:p>
    <w:p w:rsidR="00044C7C" w:rsidRDefault="00044C7C">
      <w:pPr>
        <w:pStyle w:val="Textbody"/>
        <w:widowControl/>
        <w:spacing w:after="0"/>
        <w:rPr>
          <w:rFonts w:ascii="Calibri" w:hAnsi="Calibri"/>
          <w:color w:val="000000"/>
          <w:sz w:val="22"/>
          <w:szCs w:val="22"/>
        </w:rPr>
      </w:pPr>
    </w:p>
    <w:p w:rsidR="00044C7C" w:rsidRDefault="00044C7C">
      <w:pPr>
        <w:pStyle w:val="Textbody"/>
        <w:widowControl/>
        <w:spacing w:after="0"/>
        <w:rPr>
          <w:rFonts w:ascii="Calibri" w:hAnsi="Calibri"/>
          <w:color w:val="000000"/>
          <w:sz w:val="22"/>
          <w:szCs w:val="22"/>
        </w:rPr>
      </w:pPr>
    </w:p>
    <w:p w:rsidR="00044C7C" w:rsidRDefault="008C545B">
      <w:pPr>
        <w:pStyle w:val="Textbody"/>
        <w:widowControl/>
        <w:spacing w:after="0"/>
        <w:jc w:val="both"/>
        <w:rPr>
          <w:rFonts w:ascii="Calibri" w:hAnsi="Calibri"/>
          <w:color w:val="000000"/>
          <w:sz w:val="22"/>
          <w:szCs w:val="22"/>
        </w:rPr>
      </w:pPr>
      <w:r>
        <w:rPr>
          <w:rFonts w:ascii="Calibri" w:hAnsi="Calibri"/>
          <w:color w:val="000000"/>
          <w:sz w:val="22"/>
          <w:szCs w:val="22"/>
        </w:rPr>
        <w:t>These updates will be reviewed throughout the pandemic and changed to reflect current DfE and government guidance.</w:t>
      </w:r>
    </w:p>
    <w:p w:rsidR="00044C7C" w:rsidRDefault="00044C7C">
      <w:pPr>
        <w:pStyle w:val="Textbody"/>
        <w:widowControl/>
        <w:spacing w:after="0"/>
        <w:rPr>
          <w:rFonts w:ascii="Calibri" w:hAnsi="Calibri"/>
          <w:b/>
          <w:bCs/>
          <w:color w:val="000000"/>
          <w:sz w:val="22"/>
          <w:szCs w:val="22"/>
        </w:rPr>
      </w:pPr>
    </w:p>
    <w:p w:rsidR="00044C7C" w:rsidRDefault="008C545B">
      <w:pPr>
        <w:pStyle w:val="Textbody"/>
        <w:jc w:val="both"/>
        <w:rPr>
          <w:rFonts w:ascii="Calibri" w:hAnsi="Calibri"/>
          <w:b/>
          <w:bCs/>
          <w:color w:val="000000"/>
          <w:sz w:val="22"/>
          <w:szCs w:val="22"/>
        </w:rPr>
      </w:pPr>
      <w:r>
        <w:rPr>
          <w:rFonts w:ascii="Calibri" w:hAnsi="Calibri"/>
          <w:b/>
          <w:bCs/>
          <w:color w:val="000000"/>
          <w:sz w:val="22"/>
          <w:szCs w:val="22"/>
        </w:rPr>
        <w:t>HSE Guidance on the Reporting of Covid19</w:t>
      </w:r>
    </w:p>
    <w:p w:rsidR="00044C7C" w:rsidRDefault="008C545B">
      <w:pPr>
        <w:pStyle w:val="Textbody"/>
        <w:widowControl/>
        <w:jc w:val="both"/>
        <w:rPr>
          <w:color w:val="000000"/>
          <w:sz w:val="28"/>
        </w:rPr>
      </w:pPr>
      <w:r>
        <w:rPr>
          <w:rFonts w:ascii="Calibri" w:hAnsi="Calibri"/>
          <w:color w:val="000000"/>
          <w:sz w:val="22"/>
          <w:szCs w:val="22"/>
        </w:rPr>
        <w:t>The Health and Safety Executive (HSE) has issued guidance on RIDDOR (Reporting of</w:t>
      </w:r>
      <w:r>
        <w:rPr>
          <w:rFonts w:ascii="Calibri" w:hAnsi="Calibri"/>
          <w:color w:val="000000"/>
          <w:sz w:val="22"/>
          <w:szCs w:val="22"/>
        </w:rPr>
        <w:t xml:space="preserve"> Injuries, Diseases and Dangerous Occurrence Regulations) and when these regulations may apply to coronavirus (see Annex A for further information).  We must also notify Ofsted, as we would for any other notifiable event.</w:t>
      </w:r>
    </w:p>
    <w:p w:rsidR="00044C7C" w:rsidRDefault="008C545B">
      <w:pPr>
        <w:pStyle w:val="Textbody"/>
        <w:widowControl/>
        <w:jc w:val="both"/>
      </w:pPr>
      <w:r>
        <w:rPr>
          <w:rFonts w:ascii="Calibri" w:hAnsi="Calibri"/>
          <w:color w:val="000000"/>
          <w:sz w:val="22"/>
          <w:szCs w:val="22"/>
        </w:rPr>
        <w:t xml:space="preserve">Riddor can be contacted to report </w:t>
      </w:r>
      <w:r>
        <w:rPr>
          <w:rFonts w:ascii="Calibri" w:hAnsi="Calibri"/>
          <w:color w:val="000000"/>
          <w:sz w:val="22"/>
          <w:szCs w:val="22"/>
        </w:rPr>
        <w:t xml:space="preserve">at: </w:t>
      </w:r>
      <w:hyperlink r:id="rId7" w:history="1">
        <w:r>
          <w:rPr>
            <w:rFonts w:ascii="Calibri" w:hAnsi="Calibri"/>
            <w:sz w:val="22"/>
            <w:szCs w:val="22"/>
          </w:rPr>
          <w:t>https://notifications.hse.gov.uk/riddorforms/Disease</w:t>
        </w:r>
      </w:hyperlink>
    </w:p>
    <w:p w:rsidR="00044C7C" w:rsidRDefault="00044C7C">
      <w:pPr>
        <w:pStyle w:val="Textbody"/>
        <w:widowControl/>
        <w:jc w:val="both"/>
      </w:pPr>
    </w:p>
    <w:p w:rsidR="00044C7C" w:rsidRDefault="008C545B">
      <w:pPr>
        <w:pStyle w:val="Textbody"/>
        <w:widowControl/>
        <w:jc w:val="both"/>
        <w:rPr>
          <w:rFonts w:ascii="Calibri" w:hAnsi="Calibri"/>
          <w:b/>
          <w:bCs/>
          <w:color w:val="000000"/>
          <w:sz w:val="22"/>
          <w:szCs w:val="22"/>
        </w:rPr>
      </w:pPr>
      <w:r>
        <w:rPr>
          <w:rFonts w:ascii="Calibri" w:hAnsi="Calibri"/>
          <w:b/>
          <w:bCs/>
          <w:color w:val="000000"/>
          <w:sz w:val="22"/>
          <w:szCs w:val="22"/>
        </w:rPr>
        <w:t>Mental Health and Well-being</w:t>
      </w:r>
    </w:p>
    <w:p w:rsidR="00044C7C" w:rsidRDefault="008C545B">
      <w:pPr>
        <w:pStyle w:val="Textbody"/>
        <w:widowControl/>
        <w:jc w:val="both"/>
        <w:rPr>
          <w:rFonts w:ascii="Calibri" w:hAnsi="Calibri"/>
          <w:color w:val="000000"/>
          <w:sz w:val="22"/>
          <w:szCs w:val="22"/>
        </w:rPr>
      </w:pPr>
      <w:r>
        <w:rPr>
          <w:rFonts w:ascii="Calibri" w:hAnsi="Calibri"/>
          <w:color w:val="000000"/>
          <w:sz w:val="22"/>
          <w:szCs w:val="22"/>
        </w:rPr>
        <w:t>Please see our Child Protection and Safeguarding Addendum for update guidance.</w:t>
      </w:r>
    </w:p>
    <w:p w:rsidR="00044C7C" w:rsidRDefault="00044C7C">
      <w:pPr>
        <w:pStyle w:val="Textbody"/>
        <w:widowControl/>
        <w:jc w:val="both"/>
        <w:rPr>
          <w:rFonts w:ascii="Calibri" w:hAnsi="Calibri"/>
          <w:sz w:val="22"/>
          <w:szCs w:val="22"/>
        </w:rPr>
      </w:pPr>
    </w:p>
    <w:p w:rsidR="00044C7C" w:rsidRDefault="00044C7C">
      <w:pPr>
        <w:pStyle w:val="Textbody"/>
        <w:widowControl/>
        <w:jc w:val="both"/>
        <w:rPr>
          <w:rFonts w:ascii="Calibri" w:hAnsi="Calibri"/>
          <w:sz w:val="22"/>
          <w:szCs w:val="22"/>
        </w:rPr>
      </w:pPr>
    </w:p>
    <w:p w:rsidR="00044C7C" w:rsidRDefault="00044C7C">
      <w:pPr>
        <w:pStyle w:val="Textbody"/>
        <w:widowControl/>
        <w:jc w:val="both"/>
        <w:rPr>
          <w:rFonts w:ascii="Calibri" w:hAnsi="Calibri"/>
          <w:sz w:val="22"/>
          <w:szCs w:val="22"/>
        </w:rPr>
      </w:pPr>
    </w:p>
    <w:p w:rsidR="00044C7C" w:rsidRDefault="00044C7C">
      <w:pPr>
        <w:pStyle w:val="Textbody"/>
        <w:widowControl/>
        <w:jc w:val="both"/>
        <w:rPr>
          <w:rFonts w:ascii="Calibri" w:hAnsi="Calibri"/>
          <w:sz w:val="22"/>
          <w:szCs w:val="22"/>
        </w:rPr>
      </w:pPr>
    </w:p>
    <w:p w:rsidR="00044C7C" w:rsidRDefault="00044C7C">
      <w:pPr>
        <w:pStyle w:val="Textbody"/>
        <w:widowControl/>
        <w:jc w:val="both"/>
        <w:rPr>
          <w:rFonts w:ascii="Calibri" w:hAnsi="Calibri"/>
          <w:sz w:val="22"/>
          <w:szCs w:val="22"/>
        </w:rPr>
      </w:pPr>
    </w:p>
    <w:p w:rsidR="00044C7C" w:rsidRDefault="00044C7C">
      <w:pPr>
        <w:pStyle w:val="Textbody"/>
        <w:widowControl/>
        <w:jc w:val="both"/>
        <w:rPr>
          <w:rFonts w:ascii="Calibri" w:hAnsi="Calibri"/>
          <w:sz w:val="22"/>
          <w:szCs w:val="22"/>
        </w:rPr>
      </w:pPr>
    </w:p>
    <w:p w:rsidR="00044C7C" w:rsidRDefault="00044C7C">
      <w:pPr>
        <w:pStyle w:val="Textbody"/>
        <w:widowControl/>
        <w:jc w:val="both"/>
        <w:rPr>
          <w:rFonts w:ascii="Calibri" w:hAnsi="Calibri"/>
          <w:sz w:val="22"/>
          <w:szCs w:val="22"/>
        </w:rPr>
      </w:pPr>
    </w:p>
    <w:p w:rsidR="00044C7C" w:rsidRDefault="00044C7C">
      <w:pPr>
        <w:pStyle w:val="Textbody"/>
        <w:widowControl/>
        <w:jc w:val="both"/>
        <w:rPr>
          <w:rFonts w:ascii="Calibri" w:hAnsi="Calibri"/>
          <w:sz w:val="22"/>
          <w:szCs w:val="22"/>
        </w:rPr>
      </w:pPr>
    </w:p>
    <w:p w:rsidR="00044C7C" w:rsidRDefault="00044C7C">
      <w:pPr>
        <w:pStyle w:val="Textbody"/>
        <w:widowControl/>
        <w:jc w:val="both"/>
        <w:rPr>
          <w:rFonts w:ascii="Calibri" w:hAnsi="Calibri"/>
          <w:sz w:val="22"/>
          <w:szCs w:val="22"/>
        </w:rPr>
      </w:pPr>
    </w:p>
    <w:p w:rsidR="00044C7C" w:rsidRDefault="00044C7C">
      <w:pPr>
        <w:pStyle w:val="Textbody"/>
        <w:widowControl/>
        <w:jc w:val="both"/>
        <w:rPr>
          <w:rFonts w:ascii="Calibri" w:hAnsi="Calibri"/>
          <w:sz w:val="22"/>
          <w:szCs w:val="22"/>
        </w:rPr>
      </w:pPr>
    </w:p>
    <w:p w:rsidR="00044C7C" w:rsidRDefault="00044C7C">
      <w:pPr>
        <w:pStyle w:val="Textbody"/>
        <w:widowControl/>
        <w:jc w:val="both"/>
        <w:rPr>
          <w:rFonts w:ascii="Calibri" w:hAnsi="Calibri"/>
          <w:sz w:val="22"/>
          <w:szCs w:val="22"/>
        </w:rPr>
      </w:pPr>
    </w:p>
    <w:p w:rsidR="00044C7C" w:rsidRDefault="00044C7C">
      <w:pPr>
        <w:pStyle w:val="Textbody"/>
        <w:widowControl/>
        <w:jc w:val="both"/>
        <w:rPr>
          <w:rFonts w:ascii="Calibri" w:hAnsi="Calibri"/>
          <w:sz w:val="22"/>
          <w:szCs w:val="22"/>
        </w:rPr>
      </w:pPr>
    </w:p>
    <w:p w:rsidR="00044C7C" w:rsidRDefault="00044C7C">
      <w:pPr>
        <w:pStyle w:val="Textbody"/>
        <w:widowControl/>
        <w:jc w:val="both"/>
        <w:rPr>
          <w:rFonts w:ascii="Calibri" w:hAnsi="Calibri"/>
          <w:sz w:val="22"/>
          <w:szCs w:val="22"/>
        </w:rPr>
      </w:pPr>
    </w:p>
    <w:p w:rsidR="00044C7C" w:rsidRDefault="00044C7C">
      <w:pPr>
        <w:pStyle w:val="Textbody"/>
        <w:widowControl/>
        <w:jc w:val="both"/>
        <w:rPr>
          <w:rFonts w:ascii="Calibri" w:hAnsi="Calibri"/>
          <w:sz w:val="22"/>
          <w:szCs w:val="22"/>
        </w:rPr>
      </w:pPr>
    </w:p>
    <w:p w:rsidR="00044C7C" w:rsidRDefault="00044C7C">
      <w:pPr>
        <w:pStyle w:val="Textbody"/>
        <w:widowControl/>
        <w:jc w:val="both"/>
        <w:rPr>
          <w:rFonts w:ascii="Calibri" w:hAnsi="Calibri"/>
          <w:sz w:val="22"/>
          <w:szCs w:val="22"/>
        </w:rPr>
      </w:pPr>
    </w:p>
    <w:p w:rsidR="00044C7C" w:rsidRDefault="00044C7C">
      <w:pPr>
        <w:pStyle w:val="Textbody"/>
        <w:widowControl/>
        <w:jc w:val="both"/>
        <w:rPr>
          <w:rFonts w:ascii="Calibri" w:hAnsi="Calibri"/>
          <w:sz w:val="22"/>
          <w:szCs w:val="22"/>
        </w:rPr>
      </w:pPr>
    </w:p>
    <w:p w:rsidR="00044C7C" w:rsidRDefault="00044C7C">
      <w:pPr>
        <w:pStyle w:val="Textbody"/>
        <w:widowControl/>
        <w:jc w:val="both"/>
        <w:rPr>
          <w:rFonts w:ascii="Calibri" w:hAnsi="Calibri"/>
          <w:sz w:val="22"/>
          <w:szCs w:val="22"/>
        </w:rPr>
      </w:pPr>
    </w:p>
    <w:p w:rsidR="00044C7C" w:rsidRDefault="00044C7C">
      <w:pPr>
        <w:pStyle w:val="Textbody"/>
        <w:widowControl/>
        <w:jc w:val="both"/>
        <w:rPr>
          <w:rFonts w:ascii="Calibri" w:hAnsi="Calibri"/>
          <w:sz w:val="22"/>
          <w:szCs w:val="22"/>
        </w:rPr>
      </w:pPr>
    </w:p>
    <w:p w:rsidR="00044C7C" w:rsidRDefault="008C545B">
      <w:pPr>
        <w:pStyle w:val="Textbody"/>
        <w:widowControl/>
        <w:jc w:val="both"/>
        <w:rPr>
          <w:rFonts w:ascii="Calibri" w:hAnsi="Calibri"/>
          <w:b/>
          <w:bCs/>
          <w:sz w:val="22"/>
          <w:szCs w:val="22"/>
          <w:u w:val="single"/>
        </w:rPr>
      </w:pPr>
      <w:r>
        <w:rPr>
          <w:rFonts w:ascii="Calibri" w:hAnsi="Calibri"/>
          <w:b/>
          <w:bCs/>
          <w:sz w:val="22"/>
          <w:szCs w:val="22"/>
          <w:u w:val="single"/>
        </w:rPr>
        <w:t>ANNEXE A</w:t>
      </w:r>
    </w:p>
    <w:p w:rsidR="00044C7C" w:rsidRDefault="00044C7C">
      <w:pPr>
        <w:pStyle w:val="Textbody"/>
        <w:widowControl/>
        <w:jc w:val="both"/>
        <w:rPr>
          <w:rFonts w:ascii="Calibri" w:hAnsi="Calibri"/>
          <w:b/>
          <w:bCs/>
          <w:sz w:val="22"/>
          <w:szCs w:val="22"/>
          <w:u w:val="single"/>
        </w:rPr>
      </w:pPr>
    </w:p>
    <w:p w:rsidR="00044C7C" w:rsidRDefault="008C545B">
      <w:pPr>
        <w:pStyle w:val="Textbody"/>
        <w:widowControl/>
        <w:jc w:val="both"/>
      </w:pPr>
      <w:r>
        <w:rPr>
          <w:rFonts w:ascii="Calibri" w:hAnsi="Calibri"/>
          <w:b/>
          <w:bCs/>
          <w:color w:val="111111"/>
          <w:sz w:val="22"/>
          <w:szCs w:val="22"/>
        </w:rPr>
        <w:t xml:space="preserve">TAKEN FROM </w:t>
      </w:r>
      <w:hyperlink r:id="rId8" w:history="1">
        <w:r>
          <w:rPr>
            <w:rFonts w:ascii="Calibri" w:hAnsi="Calibri"/>
            <w:sz w:val="22"/>
            <w:szCs w:val="22"/>
          </w:rPr>
          <w:t>https://www.hse.gov.uk/news/riddor-reporting-coronavirus.htm</w:t>
        </w:r>
      </w:hyperlink>
    </w:p>
    <w:p w:rsidR="00044C7C" w:rsidRDefault="00044C7C">
      <w:pPr>
        <w:pStyle w:val="Textbody"/>
        <w:widowControl/>
        <w:jc w:val="both"/>
        <w:rPr>
          <w:rFonts w:ascii="Calibri" w:hAnsi="Calibri"/>
          <w:b/>
          <w:bCs/>
          <w:color w:val="111111"/>
          <w:sz w:val="22"/>
          <w:szCs w:val="22"/>
        </w:rPr>
      </w:pPr>
    </w:p>
    <w:p w:rsidR="00044C7C" w:rsidRDefault="008C545B">
      <w:pPr>
        <w:pStyle w:val="Textbody"/>
        <w:widowControl/>
        <w:jc w:val="both"/>
        <w:rPr>
          <w:rFonts w:ascii="Calibri" w:hAnsi="Calibri"/>
          <w:b/>
          <w:bCs/>
          <w:color w:val="111111"/>
          <w:sz w:val="22"/>
          <w:szCs w:val="22"/>
        </w:rPr>
      </w:pPr>
      <w:r>
        <w:rPr>
          <w:rFonts w:ascii="Calibri" w:hAnsi="Calibri"/>
          <w:b/>
          <w:bCs/>
          <w:color w:val="111111"/>
          <w:sz w:val="22"/>
          <w:szCs w:val="22"/>
        </w:rPr>
        <w:t>RIDDOR Reporting of Covid19</w:t>
      </w:r>
    </w:p>
    <w:p w:rsidR="00044C7C" w:rsidRDefault="00044C7C">
      <w:pPr>
        <w:pStyle w:val="Textbody"/>
        <w:widowControl/>
        <w:jc w:val="both"/>
        <w:rPr>
          <w:rFonts w:ascii="Calibri" w:hAnsi="Calibri"/>
          <w:b/>
          <w:bCs/>
          <w:color w:val="111111"/>
          <w:sz w:val="22"/>
          <w:szCs w:val="22"/>
        </w:rPr>
      </w:pPr>
    </w:p>
    <w:p w:rsidR="00044C7C" w:rsidRDefault="008C545B">
      <w:pPr>
        <w:pStyle w:val="Textbody"/>
        <w:widowControl/>
        <w:jc w:val="both"/>
        <w:rPr>
          <w:rFonts w:ascii="Calibri" w:hAnsi="Calibri"/>
          <w:b/>
          <w:bCs/>
          <w:color w:val="111111"/>
          <w:sz w:val="22"/>
          <w:szCs w:val="22"/>
        </w:rPr>
      </w:pPr>
      <w:r>
        <w:rPr>
          <w:rFonts w:ascii="Calibri" w:hAnsi="Calibri"/>
          <w:b/>
          <w:bCs/>
          <w:color w:val="111111"/>
          <w:sz w:val="22"/>
          <w:szCs w:val="22"/>
        </w:rPr>
        <w:t>This guidance is for the person reporting, usually the employer (known as the ‘responsible person’).</w:t>
      </w:r>
    </w:p>
    <w:p w:rsidR="00044C7C" w:rsidRDefault="008C545B">
      <w:pPr>
        <w:pStyle w:val="Heading2"/>
        <w:widowControl/>
        <w:spacing w:before="0" w:after="225"/>
        <w:rPr>
          <w:rFonts w:ascii="Calibri" w:hAnsi="Calibri"/>
          <w:color w:val="111111"/>
          <w:sz w:val="22"/>
          <w:szCs w:val="22"/>
        </w:rPr>
      </w:pPr>
      <w:r>
        <w:rPr>
          <w:rFonts w:ascii="Calibri" w:hAnsi="Calibri"/>
          <w:color w:val="111111"/>
          <w:sz w:val="22"/>
          <w:szCs w:val="22"/>
        </w:rPr>
        <w:t xml:space="preserve">Members of the public and non-work-related cases: </w:t>
      </w:r>
      <w:r>
        <w:rPr>
          <w:rFonts w:ascii="Calibri" w:hAnsi="Calibri"/>
          <w:b w:val="0"/>
          <w:color w:val="111111"/>
          <w:sz w:val="22"/>
          <w:szCs w:val="22"/>
        </w:rPr>
        <w:t xml:space="preserve">There is no </w:t>
      </w:r>
      <w:r>
        <w:rPr>
          <w:rFonts w:ascii="Calibri" w:hAnsi="Calibri"/>
          <w:b w:val="0"/>
          <w:color w:val="111111"/>
          <w:sz w:val="22"/>
          <w:szCs w:val="22"/>
        </w:rPr>
        <w:t>requirement under RIDDOR (The Reporting of Injuries, Diseases and Dangerous Occurrences Regulations 2013) to report incidents of disease or deaths of members of the public, patients, care home residents or service users from COVID-19.</w:t>
      </w:r>
    </w:p>
    <w:p w:rsidR="00044C7C" w:rsidRDefault="008C545B">
      <w:pPr>
        <w:pStyle w:val="Textbody"/>
        <w:widowControl/>
        <w:spacing w:after="225"/>
        <w:rPr>
          <w:rFonts w:ascii="Calibri" w:hAnsi="Calibri"/>
          <w:color w:val="111111"/>
          <w:sz w:val="22"/>
          <w:szCs w:val="22"/>
        </w:rPr>
      </w:pPr>
      <w:r>
        <w:rPr>
          <w:rFonts w:ascii="Calibri" w:hAnsi="Calibri"/>
          <w:color w:val="111111"/>
          <w:sz w:val="22"/>
          <w:szCs w:val="22"/>
        </w:rPr>
        <w:t>The reporting require</w:t>
      </w:r>
      <w:r>
        <w:rPr>
          <w:rFonts w:ascii="Calibri" w:hAnsi="Calibri"/>
          <w:color w:val="111111"/>
          <w:sz w:val="22"/>
          <w:szCs w:val="22"/>
        </w:rPr>
        <w:t>ments relating to cases of, or deaths from, COVID-19 under RIDDOR apply only to occupational exposure, that is, as a result of a person’s work.</w:t>
      </w:r>
    </w:p>
    <w:p w:rsidR="00044C7C" w:rsidRDefault="008C545B">
      <w:pPr>
        <w:pStyle w:val="Heading2"/>
        <w:widowControl/>
        <w:spacing w:before="0" w:after="225"/>
        <w:rPr>
          <w:rFonts w:ascii="Calibri" w:hAnsi="Calibri"/>
          <w:color w:val="111111"/>
          <w:sz w:val="22"/>
          <w:szCs w:val="22"/>
        </w:rPr>
      </w:pPr>
      <w:bookmarkStart w:id="0" w:name="what"/>
      <w:bookmarkEnd w:id="0"/>
      <w:r>
        <w:rPr>
          <w:rFonts w:ascii="Calibri" w:hAnsi="Calibri"/>
          <w:color w:val="111111"/>
          <w:sz w:val="22"/>
          <w:szCs w:val="22"/>
        </w:rPr>
        <w:t xml:space="preserve">What to report:  </w:t>
      </w:r>
      <w:r>
        <w:rPr>
          <w:rFonts w:ascii="Calibri" w:hAnsi="Calibri"/>
          <w:b w:val="0"/>
          <w:color w:val="111111"/>
          <w:sz w:val="22"/>
          <w:szCs w:val="22"/>
        </w:rPr>
        <w:t>You should only make a report under RIDDOR when one of the following circumstances applies:</w:t>
      </w:r>
    </w:p>
    <w:p w:rsidR="00044C7C" w:rsidRDefault="008C545B">
      <w:pPr>
        <w:pStyle w:val="Textbody"/>
        <w:widowControl/>
        <w:numPr>
          <w:ilvl w:val="0"/>
          <w:numId w:val="4"/>
        </w:numPr>
        <w:spacing w:after="0"/>
      </w:pPr>
      <w:r>
        <w:rPr>
          <w:rFonts w:ascii="Calibri" w:hAnsi="Calibri"/>
          <w:color w:val="111111"/>
          <w:sz w:val="22"/>
          <w:szCs w:val="22"/>
        </w:rPr>
        <w:t xml:space="preserve">an </w:t>
      </w:r>
      <w:r>
        <w:rPr>
          <w:rFonts w:ascii="Calibri" w:hAnsi="Calibri"/>
          <w:color w:val="111111"/>
          <w:sz w:val="22"/>
          <w:szCs w:val="22"/>
        </w:rPr>
        <w:t>accident or incident at work has, or could have, led to the release or escape of coronavirus (SARS-CoV-2). This must be reported as a dangerous occurrence.</w:t>
      </w:r>
    </w:p>
    <w:p w:rsidR="00044C7C" w:rsidRDefault="008C545B">
      <w:pPr>
        <w:pStyle w:val="Textbody"/>
        <w:widowControl/>
        <w:numPr>
          <w:ilvl w:val="0"/>
          <w:numId w:val="4"/>
        </w:numPr>
        <w:spacing w:after="0"/>
      </w:pPr>
      <w:r>
        <w:rPr>
          <w:rFonts w:ascii="Calibri" w:hAnsi="Calibri"/>
          <w:color w:val="111111"/>
          <w:sz w:val="22"/>
          <w:szCs w:val="22"/>
        </w:rPr>
        <w:t>a person at work (a worker) has been diagnosed as having COVID-19 attributed to an occupational expo</w:t>
      </w:r>
      <w:r>
        <w:rPr>
          <w:rFonts w:ascii="Calibri" w:hAnsi="Calibri"/>
          <w:color w:val="111111"/>
          <w:sz w:val="22"/>
          <w:szCs w:val="22"/>
        </w:rPr>
        <w:t>sure to coronavirus. This must be reported</w:t>
      </w:r>
      <w:r>
        <w:rPr>
          <w:rFonts w:ascii="Calibri" w:hAnsi="Calibri"/>
          <w:color w:val="000000"/>
          <w:sz w:val="22"/>
          <w:szCs w:val="22"/>
          <w:shd w:val="clear" w:color="auto" w:fill="FFFFFF"/>
        </w:rPr>
        <w:t xml:space="preserve"> </w:t>
      </w:r>
      <w:r>
        <w:rPr>
          <w:rFonts w:ascii="Calibri" w:hAnsi="Calibri"/>
          <w:color w:val="000000"/>
          <w:sz w:val="22"/>
          <w:szCs w:val="22"/>
          <w:shd w:val="clear" w:color="auto" w:fill="FFFFFF"/>
        </w:rPr>
        <w:t xml:space="preserve"> as a case of disease.</w:t>
      </w:r>
    </w:p>
    <w:p w:rsidR="00044C7C" w:rsidRDefault="008C545B">
      <w:pPr>
        <w:pStyle w:val="Textbody"/>
        <w:widowControl/>
        <w:numPr>
          <w:ilvl w:val="0"/>
          <w:numId w:val="4"/>
        </w:numPr>
        <w:spacing w:after="0"/>
      </w:pPr>
      <w:r>
        <w:rPr>
          <w:rFonts w:ascii="Calibri" w:hAnsi="Calibri"/>
          <w:color w:val="111111"/>
          <w:sz w:val="22"/>
          <w:szCs w:val="22"/>
        </w:rPr>
        <w:t>a worker dies as a result of occupational exposure to coronavirus. This must be reported a</w:t>
      </w:r>
      <w:r>
        <w:rPr>
          <w:rFonts w:ascii="Calibri" w:hAnsi="Calibri"/>
          <w:color w:val="000000"/>
          <w:sz w:val="22"/>
          <w:szCs w:val="22"/>
        </w:rPr>
        <w:t>s a work-related death due to exposure to a biological agent.</w:t>
      </w:r>
    </w:p>
    <w:p w:rsidR="00044C7C" w:rsidRDefault="00044C7C">
      <w:pPr>
        <w:pStyle w:val="Textbody"/>
        <w:widowControl/>
        <w:spacing w:after="0"/>
      </w:pPr>
    </w:p>
    <w:p w:rsidR="00044C7C" w:rsidRDefault="008C545B">
      <w:pPr>
        <w:pStyle w:val="Heading3"/>
        <w:widowControl/>
        <w:spacing w:before="0" w:after="225"/>
        <w:rPr>
          <w:rFonts w:ascii="Calibri" w:hAnsi="Calibri"/>
          <w:color w:val="111111"/>
          <w:sz w:val="22"/>
          <w:szCs w:val="22"/>
        </w:rPr>
      </w:pPr>
      <w:bookmarkStart w:id="1" w:name="dangerous"/>
      <w:bookmarkEnd w:id="1"/>
      <w:r>
        <w:rPr>
          <w:rFonts w:ascii="Calibri" w:hAnsi="Calibri"/>
          <w:color w:val="111111"/>
          <w:sz w:val="22"/>
          <w:szCs w:val="22"/>
        </w:rPr>
        <w:t xml:space="preserve">Dangerous occurrences:  </w:t>
      </w:r>
      <w:r>
        <w:rPr>
          <w:rFonts w:ascii="Calibri" w:hAnsi="Calibri"/>
          <w:b w:val="0"/>
          <w:color w:val="111111"/>
          <w:sz w:val="22"/>
          <w:szCs w:val="22"/>
        </w:rPr>
        <w:t>Dangerous o</w:t>
      </w:r>
      <w:r>
        <w:rPr>
          <w:rFonts w:ascii="Calibri" w:hAnsi="Calibri"/>
          <w:b w:val="0"/>
          <w:color w:val="111111"/>
          <w:sz w:val="22"/>
          <w:szCs w:val="22"/>
        </w:rPr>
        <w:t>ccurrences are certain unintended, specified events, which may not result in a reportable injury, but which do have the potential to cause significant harm.</w:t>
      </w:r>
    </w:p>
    <w:p w:rsidR="00044C7C" w:rsidRDefault="008C545B">
      <w:pPr>
        <w:pStyle w:val="Textbody"/>
        <w:widowControl/>
        <w:spacing w:after="225"/>
        <w:rPr>
          <w:rFonts w:ascii="Calibri" w:hAnsi="Calibri"/>
          <w:color w:val="111111"/>
          <w:sz w:val="22"/>
          <w:szCs w:val="22"/>
        </w:rPr>
      </w:pPr>
      <w:r>
        <w:rPr>
          <w:rFonts w:ascii="Calibri" w:hAnsi="Calibri"/>
          <w:color w:val="111111"/>
          <w:sz w:val="22"/>
          <w:szCs w:val="22"/>
        </w:rPr>
        <w:t>For an incident to be reportable as a dangerous occurrence, the incident must have resulted (or cou</w:t>
      </w:r>
      <w:r>
        <w:rPr>
          <w:rFonts w:ascii="Calibri" w:hAnsi="Calibri"/>
          <w:color w:val="111111"/>
          <w:sz w:val="22"/>
          <w:szCs w:val="22"/>
        </w:rPr>
        <w:t xml:space="preserve">ld have resulted) in the release or escape of coronavirus, </w:t>
      </w:r>
      <w:r>
        <w:rPr>
          <w:rFonts w:ascii="Calibri" w:hAnsi="Calibri"/>
          <w:color w:val="111111"/>
          <w:sz w:val="22"/>
          <w:szCs w:val="22"/>
        </w:rPr>
        <w:t>that is, led to a possible or actual exposure to coronavirus.</w:t>
      </w:r>
    </w:p>
    <w:p w:rsidR="00044C7C" w:rsidRDefault="008C545B">
      <w:pPr>
        <w:pStyle w:val="Textbody"/>
        <w:widowControl/>
        <w:spacing w:after="225"/>
      </w:pPr>
      <w:r>
        <w:rPr>
          <w:rFonts w:ascii="Calibri" w:hAnsi="Calibri"/>
          <w:color w:val="111111"/>
          <w:sz w:val="22"/>
          <w:szCs w:val="22"/>
        </w:rPr>
        <w:t>The assessment does not require any complex analysis, measurement or test, but rather for a reasonable judgement to be made as to wheth</w:t>
      </w:r>
      <w:r>
        <w:rPr>
          <w:rFonts w:ascii="Calibri" w:hAnsi="Calibri"/>
          <w:color w:val="111111"/>
          <w:sz w:val="22"/>
          <w:szCs w:val="22"/>
        </w:rPr>
        <w:t>er the circumstances gave rise to a real risk or had the potential to cause significant harm.</w:t>
      </w:r>
    </w:p>
    <w:p w:rsidR="00044C7C" w:rsidRDefault="008C545B">
      <w:pPr>
        <w:pStyle w:val="Heading3"/>
        <w:widowControl/>
        <w:spacing w:before="0" w:after="225"/>
        <w:rPr>
          <w:rFonts w:ascii="Calibri" w:hAnsi="Calibri"/>
          <w:color w:val="111111"/>
          <w:sz w:val="22"/>
          <w:szCs w:val="22"/>
        </w:rPr>
      </w:pPr>
      <w:bookmarkStart w:id="2" w:name="disease"/>
      <w:bookmarkEnd w:id="2"/>
      <w:r>
        <w:rPr>
          <w:rFonts w:ascii="Calibri" w:hAnsi="Calibri"/>
          <w:color w:val="111111"/>
          <w:sz w:val="22"/>
          <w:szCs w:val="22"/>
        </w:rPr>
        <w:t xml:space="preserve">Cases of disease: exposure to a biological agent:  </w:t>
      </w:r>
      <w:r>
        <w:rPr>
          <w:rFonts w:ascii="Calibri" w:hAnsi="Calibri"/>
          <w:b w:val="0"/>
          <w:color w:val="111111"/>
          <w:sz w:val="22"/>
          <w:szCs w:val="22"/>
        </w:rPr>
        <w:t xml:space="preserve">When deciding if a report is required, the responsible person (usually the employer) must make a judgement, </w:t>
      </w:r>
      <w:r>
        <w:rPr>
          <w:rFonts w:ascii="Calibri" w:hAnsi="Calibri"/>
          <w:b w:val="0"/>
          <w:color w:val="111111"/>
          <w:sz w:val="22"/>
          <w:szCs w:val="22"/>
        </w:rPr>
        <w:t>based on the information available, as to whether or not a confirmed diagnosis of COVID-19 is likely to have been caused by an occupational exposure, that is, whether or not there is reasonable evidence that a work-related exposure is the likely cause of t</w:t>
      </w:r>
      <w:r>
        <w:rPr>
          <w:rFonts w:ascii="Calibri" w:hAnsi="Calibri"/>
          <w:b w:val="0"/>
          <w:color w:val="111111"/>
          <w:sz w:val="22"/>
          <w:szCs w:val="22"/>
        </w:rPr>
        <w:t>he disease. </w:t>
      </w:r>
    </w:p>
    <w:p w:rsidR="00044C7C" w:rsidRDefault="008C545B">
      <w:pPr>
        <w:pStyle w:val="Textbody"/>
        <w:widowControl/>
        <w:spacing w:after="225"/>
      </w:pPr>
      <w:r>
        <w:rPr>
          <w:rFonts w:ascii="Calibri" w:hAnsi="Calibri"/>
          <w:color w:val="111111"/>
          <w:sz w:val="22"/>
          <w:szCs w:val="22"/>
        </w:rPr>
        <w:t>The report should specify a disease due to exposure to a biological agent and use the case of disease report form.</w:t>
      </w:r>
    </w:p>
    <w:p w:rsidR="00044C7C" w:rsidRDefault="008C545B">
      <w:pPr>
        <w:pStyle w:val="Heading3"/>
        <w:widowControl/>
        <w:spacing w:before="0" w:after="225"/>
        <w:rPr>
          <w:rFonts w:ascii="Calibri" w:hAnsi="Calibri"/>
          <w:color w:val="111111"/>
          <w:sz w:val="22"/>
          <w:szCs w:val="22"/>
        </w:rPr>
      </w:pPr>
      <w:bookmarkStart w:id="3" w:name="death"/>
      <w:bookmarkEnd w:id="3"/>
      <w:r>
        <w:rPr>
          <w:rFonts w:ascii="Calibri" w:hAnsi="Calibri"/>
          <w:color w:val="000000"/>
          <w:sz w:val="22"/>
          <w:szCs w:val="22"/>
          <w:shd w:val="clear" w:color="auto" w:fill="FFFFFF"/>
        </w:rPr>
        <w:t>Work-related deaths due to exposure</w:t>
      </w:r>
      <w:r>
        <w:rPr>
          <w:rFonts w:ascii="Calibri" w:hAnsi="Calibri"/>
          <w:color w:val="111111"/>
          <w:sz w:val="22"/>
          <w:szCs w:val="22"/>
        </w:rPr>
        <w:t xml:space="preserve"> to a biological agent:  </w:t>
      </w:r>
      <w:r>
        <w:rPr>
          <w:rFonts w:ascii="Calibri" w:hAnsi="Calibri"/>
          <w:b w:val="0"/>
          <w:color w:val="111111"/>
          <w:sz w:val="22"/>
          <w:szCs w:val="22"/>
        </w:rPr>
        <w:t>For an incident to be reportable as a death due to occupational expo</w:t>
      </w:r>
      <w:r>
        <w:rPr>
          <w:rFonts w:ascii="Calibri" w:hAnsi="Calibri"/>
          <w:b w:val="0"/>
          <w:color w:val="111111"/>
          <w:sz w:val="22"/>
          <w:szCs w:val="22"/>
        </w:rPr>
        <w:t>sure to coronavirus there must be reasonable evidence that a work-related exposure caused the worker’s death.</w:t>
      </w:r>
    </w:p>
    <w:p w:rsidR="00044C7C" w:rsidRDefault="008C545B">
      <w:pPr>
        <w:pStyle w:val="Textbody"/>
        <w:widowControl/>
        <w:spacing w:after="225"/>
        <w:rPr>
          <w:rFonts w:ascii="Calibri" w:hAnsi="Calibri"/>
          <w:color w:val="111111"/>
          <w:sz w:val="22"/>
          <w:szCs w:val="22"/>
        </w:rPr>
      </w:pPr>
      <w:r>
        <w:rPr>
          <w:rFonts w:ascii="Calibri" w:hAnsi="Calibri"/>
          <w:color w:val="111111"/>
          <w:sz w:val="22"/>
          <w:szCs w:val="22"/>
        </w:rPr>
        <w:t>The responsible person should notify the enforcing authority by the quickest practicable means, without delay, and send a report within 10 days. T</w:t>
      </w:r>
      <w:r>
        <w:rPr>
          <w:rFonts w:ascii="Calibri" w:hAnsi="Calibri"/>
          <w:color w:val="111111"/>
          <w:sz w:val="22"/>
          <w:szCs w:val="22"/>
        </w:rPr>
        <w:t>he report should specify death due to exposure to a biological agent using the “case of disease” report form.</w:t>
      </w:r>
    </w:p>
    <w:p w:rsidR="00044C7C" w:rsidRDefault="00044C7C">
      <w:pPr>
        <w:pStyle w:val="Textbody"/>
        <w:widowControl/>
        <w:jc w:val="both"/>
        <w:rPr>
          <w:rFonts w:ascii="Calibri" w:hAnsi="Calibri"/>
          <w:b/>
          <w:bCs/>
          <w:sz w:val="22"/>
          <w:szCs w:val="22"/>
        </w:rPr>
      </w:pPr>
    </w:p>
    <w:p w:rsidR="00044C7C" w:rsidRDefault="008C545B">
      <w:pPr>
        <w:pStyle w:val="Textbody"/>
        <w:widowControl/>
        <w:jc w:val="both"/>
        <w:rPr>
          <w:rFonts w:ascii="Calibri" w:hAnsi="Calibri"/>
          <w:b/>
          <w:bCs/>
          <w:sz w:val="22"/>
          <w:szCs w:val="22"/>
        </w:rPr>
      </w:pPr>
      <w:bookmarkStart w:id="4" w:name="_GoBack"/>
      <w:r>
        <w:rPr>
          <w:rFonts w:ascii="Calibri" w:hAnsi="Calibri"/>
          <w:b/>
          <w:bCs/>
          <w:noProof/>
          <w:sz w:val="22"/>
          <w:szCs w:val="22"/>
          <w:lang w:eastAsia="en-GB" w:bidi="ar-SA"/>
        </w:rPr>
        <w:lastRenderedPageBreak/>
        <w:drawing>
          <wp:inline distT="0" distB="0" distL="0" distR="0">
            <wp:extent cx="6099119" cy="3430800"/>
            <wp:effectExtent l="0" t="0" r="0" b="0"/>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
                      <a:lum bright="-50000"/>
                      <a:alphaModFix/>
                    </a:blip>
                    <a:srcRect/>
                    <a:stretch>
                      <a:fillRect/>
                    </a:stretch>
                  </pic:blipFill>
                  <pic:spPr>
                    <a:xfrm>
                      <a:off x="0" y="0"/>
                      <a:ext cx="6099119" cy="3430800"/>
                    </a:xfrm>
                    <a:prstGeom prst="rect">
                      <a:avLst/>
                    </a:prstGeom>
                    <a:ln>
                      <a:noFill/>
                      <a:prstDash/>
                    </a:ln>
                  </pic:spPr>
                </pic:pic>
              </a:graphicData>
            </a:graphic>
          </wp:inline>
        </w:drawing>
      </w:r>
      <w:bookmarkEnd w:id="4"/>
    </w:p>
    <w:sectPr w:rsidR="00044C7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45B" w:rsidRDefault="008C545B">
      <w:r>
        <w:separator/>
      </w:r>
    </w:p>
  </w:endnote>
  <w:endnote w:type="continuationSeparator" w:id="0">
    <w:p w:rsidR="008C545B" w:rsidRDefault="008C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45B" w:rsidRDefault="008C545B">
      <w:r>
        <w:rPr>
          <w:color w:val="000000"/>
        </w:rPr>
        <w:separator/>
      </w:r>
    </w:p>
  </w:footnote>
  <w:footnote w:type="continuationSeparator" w:id="0">
    <w:p w:rsidR="008C545B" w:rsidRDefault="008C5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1AD7"/>
    <w:multiLevelType w:val="multilevel"/>
    <w:tmpl w:val="B0A8CE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B7469C9"/>
    <w:multiLevelType w:val="multilevel"/>
    <w:tmpl w:val="01BE2E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8FB0EA7"/>
    <w:multiLevelType w:val="multilevel"/>
    <w:tmpl w:val="9912C9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70B7605C"/>
    <w:multiLevelType w:val="multilevel"/>
    <w:tmpl w:val="E7CAD0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44C7C"/>
    <w:rsid w:val="00044C7C"/>
    <w:rsid w:val="008C545B"/>
    <w:rsid w:val="00F61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2CB28-73CB-4430-952D-5395DB8A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rFonts w:ascii="Times New Roman" w:eastAsia="SimSun" w:hAnsi="Times New Roman"/>
      <w:b/>
      <w:bCs/>
      <w:sz w:val="48"/>
      <w:szCs w:val="48"/>
    </w:rPr>
  </w:style>
  <w:style w:type="paragraph" w:styleId="Heading2">
    <w:name w:val="heading 2"/>
    <w:basedOn w:val="Heading"/>
    <w:next w:val="Textbody"/>
    <w:pPr>
      <w:outlineLvl w:val="1"/>
    </w:pPr>
    <w:rPr>
      <w:rFonts w:ascii="Times New Roman" w:eastAsia="SimSun" w:hAnsi="Times New Roman"/>
      <w:b/>
      <w:bCs/>
      <w:sz w:val="36"/>
      <w:szCs w:val="36"/>
    </w:rPr>
  </w:style>
  <w:style w:type="paragraph" w:styleId="Heading3">
    <w:name w:val="heading 3"/>
    <w:basedOn w:val="Heading"/>
    <w:next w:val="Textbody"/>
    <w:pPr>
      <w:outlineLvl w:val="2"/>
    </w:pPr>
    <w:rPr>
      <w:rFonts w:ascii="Times New Roman" w:eastAsia="SimSun" w:hAnsi="Times New Roman"/>
      <w:b/>
      <w:bCs/>
    </w:rPr>
  </w:style>
  <w:style w:type="paragraph" w:styleId="Heading4">
    <w:name w:val="heading 4"/>
    <w:basedOn w:val="Heading"/>
    <w:next w:val="Textbody"/>
    <w:pPr>
      <w:outlineLvl w:val="3"/>
    </w:pPr>
    <w:rPr>
      <w:rFonts w:ascii="Times New Roman" w:eastAsia="SimSu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hse.gov.uk/news/riddor-reporting-coronavirus.htm" TargetMode="External"/><Relationship Id="rId3" Type="http://schemas.openxmlformats.org/officeDocument/2006/relationships/settings" Target="settings.xml"/><Relationship Id="rId7" Type="http://schemas.openxmlformats.org/officeDocument/2006/relationships/hyperlink" Target="https://notifications.hse.gov.uk/riddorforms/Dise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www.earlyyearshub.co.uk/wp-content/uploads/2020/04/CV19-What-to-d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6077</Characters>
  <Application>Microsoft Office Word</Application>
  <DocSecurity>0</DocSecurity>
  <Lines>50</Lines>
  <Paragraphs>14</Paragraphs>
  <ScaleCrop>false</ScaleCrop>
  <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2020-09-23T10:15:00Z</dcterms:created>
  <dcterms:modified xsi:type="dcterms:W3CDTF">2020-09-23T10:15:00Z</dcterms:modified>
</cp:coreProperties>
</file>